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O Sr. Desembargador José Luiz Oliveira de Almeida (relator):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Trata-se de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habeas corpus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 pedido de liminar, contra ato do Juízo de Direito Central de Inquéritos da Capital, impetrado pelo advogado Aldenor Cunha Rebouças Júnior, em favor de João Guilherme de Abreu.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Narra o impetrante que o juízo da Central de Inquéritos do termo judiciário de São Luís acolheu representação formulada por uma comissão de Delegados que preside o inquérito policial nº 23/2015-SEIC, e decretou a prisão preventiva</w:t>
      </w:r>
      <w:bookmarkStart w:id="0" w:name="_ftnref1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"_ftn1"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[1]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0"/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do ora paciente e dos investigados Alberto Youssef, Rafael Ângulo Lopez, Adarico Montenegro Filho e Marco Antonio de Campos Ziegert, indiciados pela prática, em tese, dos crimes tipificados nos arts. 317 e 333, do CPB, cujos fatos subjacentes guardam relação com a operação "Lava-jato".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 base em trechos da aludida representação das autoridades policiais, relata que os fatos investigados visam apurar a prática dos crimes de corrupção ativa e passiva,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que se destinaram a viabilizar o pagamento de um crédito, por parte do Estado do maranhão, no valor de R$ 113.366.859,84 (centro e treze milhões, trezentos e sessenta e seis mil, oitocentos e cinquenta e nove reais e oitenta e quatro centavos), em favor da empresa de Construção Civil UTC/CONSTRAN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".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Aduz que representantes da UTC/CONSTRAN e o Estado do Maranhão entabularam um acordo, consistente no pagamento da referida quantia de R$ 113.366.859,84 (centro e treze milhões, trezentos e sessenta e seis mil, oitocentos e cinquenta e nove reais e oitenta e quatro centavos), em 24 (vinte e quatro) parcelas mensais, o que culminou na sua exclusão da fila de precatórios, bem com na extinção de uma ação rescisória proposta pela Procuradoria Geral de Estado, contra a decisão constitutiva do referido crédito. Acrescenta que foram pagas 08 (oito) parcelas, até a suspensão do acordo, em virtude de decisão liminar concedida pelo juízo da 1ª Vara da Fazenda Pública da Capital, nos autos da Ação Popular nº 22918-54.2014.8.10.0001.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Prossegue o impetrante, citando a pré-falada representação,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"que o paciente teria dado impulso para que a questão fosse solucionada, tendo efetivamente encaminhado a matéria à Procuradoria do Estado e a Secretaria de Planejamento, para emissão de pareceres técnicos visando a concretização do acordo" (p. 05), e que "os dados colhidos são contundentes no sentido de que efetivamente tenha havido uma negociação ao longo de meses e mediante contratos pessoais, entre Youssef - apontado como emissão da UTC/Constran - e o então Secretário da Casa Civil do Maranhão, João Abreu, intermediado por Marcão, visando a solução acerca do pagamento, por parte do Estado do Maranhão, de um precatório constituído em favor da UTC/Constran (p. 10)".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Conclui a narrativa fática assentando, ainda de acordo com a multicitada representação, que o paciente, então Secretário da Casa Civil (2013/2014), incorreu, supostamente, na prática do crime de corrupção passiva, por ter aceitado o recebimento de elevados valores e de presentes (uma caixa de vinhos importados de alto padrão), para impulsionar a solução visando o recebimento do crédito da empresa UTC/Constran junto ao Estado do Maranhão.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Na sequência, o impetrante passa a hostilizar os fundamentos do decreto de prisão preventiva, enfatizando que: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 - o contexto fático narrado na representação engloba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datas antigas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", tais como final de 2013 e começo de 2014, evidenciando não haver urgência a justificar a decretação da prisão preventiva, que exige contemporaneidade dos fatos subjacentes;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 -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a decisão não explica de que modo um (suposto) recebimento de propina em 2013 ou início de 2014, e outras três garrafas de vinho colocaria toda a sociedade em grande risco?"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(fls. 12)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III - a fictícia necessidade de se evitar a reiteração de crimes sequer foi citada na representação, e tal possibilidade inexiste, pois: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"(1) Alberto Youssef está preso há mais de ano em Curitiba, como consignado no despacho de indiciamento, portanto, sem qualquer condição de entregar dinheiro ou vinho para outrem; (2) o Paciente não é agente público, portanto não se cogita de reiteração de corrupção e; (3) Roseana Sarney deixou de ser governadora do Estado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" (fls. 13);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IV - a decisão que decretou a prisão preventiva é nula, por não ter justificado, de forma satisfatória, a impossibilidade de aplicação das medidas cautelares diversas da prisão (arts. 282 e 319, do CPP), olvidando o juízo dito coator da natureza de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extrema ratio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da segregação; e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V - as condições subjetivas favoráveis do paciente, ainda que insuficientes, por si sós, para elidir o decreto prisional, devem ser sopesadas, quando ausente os respectivos requisitos legais da segregação, ou mesmo diante da viabilidade de aplicação de medidas cautelares diversas da prisão.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Em arremate, o impetrante aponta, ainda, suposta violação às prerrogativas profissionais, em razão de cumprimento de mandado de busca e apreensão sem a presença de membro da OAB/MA, advertindo que as autoridades policiais sabiam que o paciente é inscrito nos quadros da ordem.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 espeque nesses fundamentos, pede a concessão da ordem, liminarmente, para o fim de revogar a prisão preventiva do paciente, com a expedição de alvará de soltura, confirmando o provimento em julgamento meritório final.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inicial veio instruída com os documentos de fls. 15/183, destacando-se a cópia do decreto prisional hostilizado, às fls. 143/160.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Impetrado 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writ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perante o plantão judiciário, a desembargadora plantonista, no despacho de fls. 185, declarou-se suspeita por motivo de foro íntimo.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Os autos foram redistribuídos à Vice-Presidente desta e. Corte, na condição de plantonista substituta, que resolveu requisitar as informações da autoridade impetrada, no prazo de 72 (setenta e duas) horas, para subsidiar o exame do pleito liminar (fls. 186/187).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>Com o término do plantão, os autos foram redistribuídos à minha relatoria (fls. 192), e vieram-me conclusos na data de ontem (28/09/2015), após o pedido de reconsideração formulado pelo impetrante, às fls. 194/197, instruído com os documentos de fls. 198/203.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Suficientemente relatado, decido.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Registro, de antemão, que, a despeito de não terem sido enviadas as informações, em tempo e modo, a inicial da impetração encontra-se satisfatoriamente instruída, autorizando, destarte, o exame do pedido urgente.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concessão do pleito liminar, em sede de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habeas corpus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exige a demonstração, de plano, da presença dos requisitos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fumus boni juris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periculum in mora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além da comprovação, inequívoca, de urgência na cessação da coação ilegal incidente sobre a liberdade do paciente.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No caso vertente, examinando perfunctoriamente os argumentos da impetração, contrapostos aos fundamentos do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decisum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questionado e às provas documentais carreadas, forçoso concluir que a prisão preventiva é medida que se afigura,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a priori,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desarrazoada, na linha dos fundamentos adiante delineados.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Extraio da decisão de fls. 143/160 o seguinte fragmento, alusivo ao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periculum in libertatis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em que se funda a segregação do ora paciente,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in verbis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[...] As autoridades policiais revelam que João Guilherme de Abreu foi fundamental para a inserção de Youssef no Governo do Estado do Maranhão, este era Secretário da Casa Civil, homem de confiança da Governadora da época, dotado de grande poder e influência junto à administração pública. A partir de um processo administrativo singular, parcelou a dívida do valor de R$113.366.859.84 (cento e treze milhões, trezentos e sessenta e seis mil, oitocentos e cinquenta e nove reais e oitenta e quatro centavos) em favor da empresa de construção civil UTC/CONSTRAN, recebendo como propina a quantia de R$3.000.000.00 (três milhões de reais), das mãos de Youssef, intermediado por MARCÃO. Desta maneira, o modo como o crime foi realizado, torna arriscado a nanutenção dos representados em liberdade, toda a sociedade estaria em grande risco.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Asseveram os delegados de polícia, que João Abreu recebeu de Youssef também uma caixa de vinho com 3 (três) garrafas, cujo o preço de cada unidade varia de R$ 1.000,00(mil reais) a R$3.000,00(três mil reais) , perfazendo o "presente" numa importância de no mínimo R$ 3.000,00(três mil reais), o que por si só, configura ilícitos contra a administração pública.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[...]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Ainda, faz-se necessária a custódia cautelar dos representados levando em conta a natureza da infração perseguida, esta se trata de crime de colarinho branco, cujas provas são de fácil manipulação, de forma que soltos, a instrução criminal e a busca da verdade real ficam comprometidas.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Conclui-se, pois, que no caso em apreço, a custódia preventiva, medida cautelar gravosa de cunho excepcional deve ser decretada não havendo que se falar, aqui, em violação ao princípio da não-culpabilidade, dada extrema a necessidade de flexibilização do postulado constitucional em comento.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Observa-se que o cerne argumentativo da segregação para acautelar a ordem pública centra-se,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exclusivamente,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na necessidade de se estancar novas práticas delitivas.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Contudo, pude observar, em linha de princípio, que a autoridade judiciária dita coatora não explicitou, concretamente, de que maneira a liberdade do ora paciente colocaria em risco a sociedade, notadamente a probabilidade de reiteração criminosa, pois limitou-se a narrar os fatos tais como descritos na representação, sem contextualizá-los numa probabilidade empírica de recalcitrância delituosa.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 efeito, é possível inferir, por ora, de acordo com os fundamentos da decisão impugnada, que a gravidade abstrata do crime imputado ao paciente - recebimento de propina no valor de três milhões de reais -, não guarda relação lógica de causa e efeito entre sua suposta prática e o perigo de que novas condutas delitivas deste jaez tornem a ocorrer, o que é corroborado, também, pela constatação de que João Aguiar de Abreu não mais exerce qualquer cargo público no âmbito da Administração Pública Estadual, e ainda, pela inexistência de registros criminais anteriores em seu desfavor.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De outra parte, ainda analisando os termos em que vazada a representação, e consequentemente, o decreto prisional hostilizado, de bom alvitre registrar que a gravidade a do crime, como é de sabença, não constitui, por si só, fator de legitimação da segregação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ante tempus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sendo imperiosa a demonstração de fatos concretos que justifiquem a imposição da medida gravosa, face, mesmo, ao princípio constitucional da presunção de inocência, sob pena de a prisão tornar-se mero consectário da imputação. Tal orientação é firme na jurisprudência: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[...] - A privação cautelar da liberdade individual - cuja decretação resulta possível em virtude de expressa cláusula inscrita no próprio texto da Constituição da República (CF, art. 5º, LXI), não conflitando, por isso mesmo, com a presunção constitucional de inocência (CF, art. 5º, LVII) - reveste-se de caráter excepcional, somente devendo ser ordenada, por tal razão, em situações de absoluta e real necessidade. A prisão processual, para legitimar-se em face de nosso sistema jurídico, impõe - além da satisfação dos pressupostos a que se refere o art. 312 do CPP (prova da existência material do crime e indício suficiente de autoria) - que se evidenciem, com fundamento em base empírica idônea, razões justificadoras da imprescindibilidade dessa extraordinária medida cautelar de privação da liberdade do indiciado ou do réu. Doutrina. Precedentes. A PRISÃO PREVENTIVA - ENQUANTO MEDIDA DE NATUREZA CAUTELAR - NÃO PODE SER UTILIZADA COMO INSTRUMENTO DE PUNIÇÃO ANTECIPADA DO INDICIADO OU DO RÉU. - A prisão cautelar não pode - nem deve - ser utilizada, pelo Poder Público, como instrumento de punição antecipada daquele a quem se imputou a prática do delito, pois, no sistema jurídico brasileiro, fundado em bases democráticas, prevalece o princípio da liberdade, incompatível com punições sem processo e inconciliável com condenações sem defesa prévia. A prisão cautelar - que não deve ser 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>confundida com a prisão penal - não objetiva infligir punição àquele que sofre a sua decretação, mas destina-se, considerada a função cautelar que lhe é inerente, a atuar em benefício da atividade estatal desenvolvida no processo penal. Precedentes. A PRISÃO CAUTELAR NÃO PODE APOIAR-SE EM JUÍZOS MERAMENTE CONJECTURAIS. - A mera suposição, fundada em simples conjecturas, não pode autorizar a decretação da prisão cautelar de qualquer pessoa. - A decisão que ordena a privação cautelar da liberdade não se legitima quando desacompanhada de fatos concretos que lhe justifiquem a necessidade, não podendo apoiar-se, por isso mesmo, na avaliação puramente subjetiva do magistrado de que a pessoa investigada ou processada, se em liberdade, poderá delinqüir ou interferir na instrução probatória ou evadir-se do distrito da culpa ou, então, prevalecer-se de sua particular condição social, funcional ou econômico-financeira para obstruir, indevidamente, a regular tramitação do processo penal de conhecimento. - Presunções arbitrárias, construídas a partir de juízos meramente conjecturais, porque formuladas à margem do sistema jurídico, não podem prevalecer sobre o princípio da liberdade, cuja precedência constitucional lhe confere posição eminente no domínio do processo penal. PRISÃO CAUTELAR E POSSIBILIDADE DE EVASÃO DO DISTRITO DA CULPA. - A mera possibilidade de evasão do distrito da culpa - seja para evitar a configuração do estado de flagrância, seja, ainda, para questionar a legalidade e/ou a validade da própria decisão de custódia cautelar - não basta, só por si, para justificar a decretação ou a manutenção da medida excepcional de privação cautelar da liberdade individual do indiciado ou do réu. Precedentes. O CLAMOR PÚBLICO NÃO CONSTITUI FATOR DE LEGITIMAÇÃO DA PRIVAÇÃO CAUTELAR DA LIBERDADE. - O estado de comoção social e de eventual indignação popular, motivado pela repercussão da prática da infração penal, não pode justificar, só por si, a decretação da prisão cautelar do suposto autor do comportamento delituoso, sob pena de completa e grave aniquilação do postulado fundamental da liberdade. - O clamor público - precisamente por não constituir causa legal de justificação da prisão processual (CPP, art. 312) - não se qualifica como fator de legitimação da privação cautelar da liberdade do indiciado ou do réu. Precedentes. A PRESERVAÇÃO DA CREDIBILIDADE DAS INSTITUIÇÕES NÃO SE QUALIFICA, SÓ POR SI, COMO FUNDAMENTO AUTORIZADOR DA PRISÃO CAUTELAR. - Não se reveste de idoneidade jurídica, para efeito de justificação do ato excepcional da prisão cautelar, a alegação de que essa modalidade de prisão é necessária para resguardar a credibilidade das instituições. INADMISSIBILIDADE DO REFORÇO DE FUNDAMENTAÇÃO, PELAS INSTÂNCIAS SUPERIORES, DO DECRETO DE PRISÃO CAUTELAR. A legalidade da decisão que decreta a prisão cautelar ou que denega liberdade provisória deverá ser aferida em função dos fundamentos que lhe dão suporte, e não em face de eventual reforço advindo de julgamentos emanados das instâncias judiciárias superiores. Precedentes. A motivação há de ser própria, inerente e contemporânea à decisão que decreta (ou que mantém) o ato excepcional de privação cautelar da liberdade, pois a ausência ou a deficiência de fundamentação não podem ser supridas "a posteriori". AUSÊNCIA DE DEMONSTRAÇÃO, NO CASO, DA NECESSIDADE CONCRETA DE DECRETAR-SE A PRISÃO PREVENTIVA DOS PACIENTES. - Sem que se caracterize situação de real necessidade, não se legitima a privação cautelar da liberdade individual do indiciado ou do réu. Ausentes razões de necessidade, revela-se incabível, ante a sua excepcionalidade, a decretação ou a subsistência da prisão cautelar. A PRESUNÇÃO CONSTITUCIONAL DE INOCÊNCIA IMPEDE QUE O ESTADO TRATE COMO SE CULPADO FOSSE AQUELE QUE AINDA NÃO SOFREU CONDENAÇÃO PENAL IRRECORRÍVEL. - A prerrogativa jurídica da liberdade - que possui extração constitucional (CF, art. 5º, LXI e LXV) - não pode ser ofendida por interpretações doutrinárias ou jurisprudenciais, que, fundadas em preocupante discurso de conteúdo autoritário, culminam por consagrar, paradoxalmente, em detrimento de direitos e garantias fundamentais proclamados pela Constituição da República, a ideologia da lei e da ordem. Mesmo que se trate de pessoa acusada da suposta prática de crime hediondo, e até que sobrevenha sentença penal condenatória irrecorrível, não se revela possível - por efeito de insuperável vedação constitucional (CF, art. 5º, LVII) - presumir-lhe a culpabilidade. Ninguém, absolutamente ninguém, pode ser tratado como culpado, qualquer que seja o ilícito penal cuja prática lhe tenha sido atribuída, sem que exista, a esse respeito, decisão judicial condenatória transitada em julgado. O princípio constitucional do estado de inocência, tal como delineado em nosso sistema jurídico, consagra uma regra de tratamento que impede o Poder Público de agir e de se comportar, em relação ao suspeito, ao indiciado, ao denunciado ou ao réu, como se estes já houvessem sido condenados, definitivamente, por sentença do Poder Judiciário. Precedentes.</w:t>
      </w:r>
      <w:bookmarkStart w:id="1" w:name="_ftnref2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"_ftn2"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[2]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1"/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Portanto, posso afirmar, por ora, que a finalidade metaprocessual da segregação,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in casu,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limita-se aos aspectos inerentes à prática delitiva, insuficientes para este fim; ademais, estes mesmos fundamentos não explicitam de que forma novas infrações desta natureza poderiam ocorrer, não estando suficientemente delineado, pois, o risco de recalcitrância delituosa.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prisão preventiva funda-se, ademais, na conveniência da instrução, enfatizando o magistrado impetrado que nos crimes de colarinho branco as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provas são de fácil manipulação"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o que,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concessa venia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apresenta-se, em princípio, juízo meramente especulativo, porque desvinculado de efetiva demonstração, no caso concreto, de como seria possível, mesmo em tese, a manipulação das provas pelo ora paciente.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Portanto, forçoso concluir, por ora, que a segregação preventiva do paciente carece de base empírica idônea, o que não implica, necessariamente, em sua soltura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ipso facto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sem algumas condicionantes, questão sobre a qual me detenho adiante.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Cediço que, após a recente reforma operada no CPP, pela Lei nº 12.403/11, a prisão preventiva passou a ser considerada, de acordo com a doutrina, a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extrema ratio da ultima ratio"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em alusão ao que dispõe o art. 282, § 6º, do CPP, segundo o qual: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>Art. 282.  As medidas cautelares previstas neste Título deverão ser aplicadas observando-se a: 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 - necessidade para aplicação da lei penal, para a investigação ou a instrução criminal e, nos casos expressamente previstos, para evitar a prática de infrações penais;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 - adequação da medida à gravidade do crime, circunstâncias do fato e condições pessoais do indiciado ou acusado.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Omissis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6</w:t>
      </w:r>
      <w:r w:rsidRPr="005E2A76">
        <w:rPr>
          <w:rFonts w:ascii="Arial" w:eastAsia="Times New Roman" w:hAnsi="Arial" w:cs="Arial"/>
          <w:color w:val="666666"/>
          <w:sz w:val="18"/>
          <w:szCs w:val="18"/>
          <w:u w:val="single"/>
          <w:vertAlign w:val="superscript"/>
          <w:lang w:eastAsia="pt-BR"/>
        </w:rPr>
        <w:t>o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A prisão preventiva será determinada quando não for cabível a sua substituição por outra medida cautelar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(art. 319).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(sem destaques no original).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Assim, atualmente, a necessidade da prisão preventiva deve passar por um filtro de ponderação e análise escalonada, só sendo cabível quando as demais medidas cautelares previstas no art. 319, do CPP, não se mostrarem idôneas. Nesse sentido são as ponderações de Luiz Flávio Gomes: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[...] Com a reforma do CPP que agora estamos comentando, fecha-se o ciclo: restam apenas duas prisões cautelares: temporária e preventiva. Ambas exigem fundamentação concreta do juiz (CPP, art. 283, com nova redação). Todas as demais formas de prisão cautelar foram eliminadas. A prisão cautelar é excepcional. Exige demonstração dessa excepcionalidade (pelo juiz). A prisão cautelar é 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extrema ratio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ultima ratio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(que é o direito penal).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Só pode ser adotada em casos de extrema necessidade </w:t>
      </w:r>
      <w:r w:rsidRPr="005E2A76">
        <w:rPr>
          <w:rFonts w:ascii="Arial" w:eastAsia="Times New Roman" w:hAnsi="Arial" w:cs="Arial"/>
          <w:color w:val="666666"/>
          <w:sz w:val="18"/>
          <w:u w:val="single"/>
          <w:lang w:eastAsia="pt-BR"/>
        </w:rPr>
        <w:t>e quando incabíveis as medidas cautelares substitutivas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ou alternativas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(CPP, art. 319; veja ainda 282, § 6º). [...]</w:t>
      </w:r>
      <w:bookmarkStart w:id="2" w:name="_ftnref3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"_ftn3"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[3]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2"/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(sem destaques no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</w:t>
      </w:r>
      <w:hyperlink r:id="rId4" w:anchor="LFG_ret" w:history="1">
        <w:r w:rsidRPr="005E2A76">
          <w:rPr>
            <w:rFonts w:ascii="Arial" w:eastAsia="Times New Roman" w:hAnsi="Arial" w:cs="Arial"/>
            <w:color w:val="0000FF"/>
            <w:sz w:val="18"/>
            <w:u w:val="single"/>
            <w:lang w:eastAsia="pt-BR"/>
          </w:rPr>
          <w:t>original</w:t>
        </w:r>
      </w:hyperlink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Conquanto não haja dúvidas sobre a identidade entre os pressupostos para a imposição da segregação preventiva e das medidas cautelares diversas da prisão,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i.e.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fumus comissi delicti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há certo dissenso doutrinário no que concerne a essa mesma similitude relativamente aos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requisitos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autorizadores dos dois mecanismos.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Acerca da matéria, dispõem os arts. 282, 311, 312 e 313, do CPP: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Art. 282.  As medidas cautelares previstas neste Título deverão ser aplicadas observando-se a: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 -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</w:t>
      </w:r>
      <w:r w:rsidRPr="005E2A76">
        <w:rPr>
          <w:rFonts w:ascii="Arial" w:eastAsia="Times New Roman" w:hAnsi="Arial" w:cs="Arial"/>
          <w:color w:val="666666"/>
          <w:sz w:val="18"/>
          <w:u w:val="single"/>
          <w:lang w:eastAsia="pt-BR"/>
        </w:rPr>
        <w:t>necessidade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para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aplicação da lei penal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para 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investigação ou a instrução criminal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e, nos casos expressamente previstos,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para evitar a prática de infrações penais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;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 -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adequação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da medida à gravidade do crime, circunstâncias do fato e condições pessoais do indiciado ou acusado.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1o  As medidas cautelares poderão ser aplicadas isolada ou cumulativamente.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2o  As medidas cautelares serão decretadas pelo juiz, de ofício ou a requerimento das partes ou, quando no curso da investigação criminal, por representação da autoridade policial ou mediante requerimento do Ministério Público.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3o  Ressalvados os casos de urgência ou de perigo de ineficácia da medida, o juiz, ao receber o pedido de medida cautelar, determinará a intimação da parte contrária, acompanhada de cópia do requerimento e das peças necessárias, permanecendo os autos em juízo.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4o  No caso de descumprimento de qualquer das obrigações impostas, o juiz, de ofício ou mediante requerimento do Ministério Público, de seu assistente ou do querelante, poderá substituir a medida, impor outra em cumulação, ou, em último caso, decretar a prisão preventiva (art. 312, parágrafo único).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5o  O juiz poderá revogar a medida cautelar ou substituí-la quando verificar a falta de motivo para que subsista, bem como voltar a decretá-la, se sobrevierem razões que a justifiquem.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§ 6o  A prisão preventiva será determinada quando não for cabível a sua substituição por outra medida cautelar (art. 319).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[...]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Art. 311.  Em qualquer fase da investigação policial ou do processo penal, caberá a prisão preventiva decretada pelo juiz, de ofício, se no curso da ação penal, ou a requerimento do Ministério Público, do querelante ou do assistente, ou por representação da autoridade policial.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Art. 312.  A prisão preventiva poderá ser decretada como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garantia da ordem pública, da ordem econômica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por conveniência da instrução criminal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ou para assegurar a aplicação da lei penal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quando houver prova da existência do crime e indício suficiente de autoria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Parágrafo único.  A prisão preventiva também poderá ser decretada em caso de descumprimento de qualquer das obrigações impostas por força de outras medidas cautelares (art. 282, § 4o). (Incluído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Art. 313.  Nos termos do art. 312 deste Código, será admitida a decretação da prisão preventiva: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 - nos crimes dolosos punidos com pena privativa de liberdade máxima superior a 4 (quatro) anos;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 - se tiver sido condenado por outro crime doloso, em sentença transitada em julgado, ressalvado o disposto no inciso I do caput do art. 64 do Decreto-Lei no 2.848, de 7 de dezembro de 1940 - Código Penal;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>III - se o crime envolver violência doméstica e familiar contra a mulher, criança, adolescente, idoso, enfermo ou pessoa com deficiência, para garantir a execução das medidas protetivas de urgência; (Redação dada pela Lei nº 12.403, de 2011).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IV - (revogado). (Redação dada pela Lei nº 12.403, de 2011). Parágrafo único.  Também será admitida a prisão preventiva quando houver dúvida sobre a identidade civil da pessoa ou quando esta não fornecer elementos suficientes para esclarecê-la, devendo o preso ser colocado imediatamente em liberdade após a identificação, salvo se outra hipótese recomendar a manutenção da medida. (Incluído pela Lei nº 12.403, de 2011).(Sem destaques no original)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exegese sistemática dos preceitos conduz à seguinte conclusão: as medidas cautelares diversas e a prisão preventiva, em princípio, possuem requisitos essencialmente similares relativos à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necessidade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da medida, pautadas no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periculum in libertatis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sendo que 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adequação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constitui o parâmetro definidor da natureza da medida cautelar a ser imposta.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Nesse aspecto, é clara a redação do inciso II, do art. 282, do CPP, ao dispor sobre a observância da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adequação da medida à gravidade do crime, circunstâncias do fato e condições pessoais do indiciado ou acusado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".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par de tais premissas, a conclusão que chego sobre o tema é a seguinte: a carência de fundamentação do decreto prisional (tal como se apresenta, numa primeira análise, no caso vertente), autoriza a imposição de medidas alternativas à prisão, desde que os respectivos requisitos, relativos à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necessidade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estejam presentes.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Noutros termos, o constrangimento ilegal por motivação deficitária da segregação cautelar não é um caminho unívoco, que conduz apenas à soltura, pois o art. 321, do CPP dispõe, expressamente, que "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ausentes os requisitos que autorizam a decretação da prisão preventiva, o juiz deverá conceder liberdade provisória, </w:t>
      </w:r>
      <w:r w:rsidRPr="005E2A76">
        <w:rPr>
          <w:rFonts w:ascii="Arial" w:eastAsia="Times New Roman" w:hAnsi="Arial" w:cs="Arial"/>
          <w:color w:val="666666"/>
          <w:sz w:val="18"/>
          <w:u w:val="single"/>
          <w:lang w:eastAsia="pt-BR"/>
        </w:rPr>
        <w:t>impondo, se for o caso, as medidas cautelares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previstas no art. 319 deste Código e observados os critérios constantes do art. 282, deste Código"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(sem grifos no texto original)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,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convindo anotar que, tratando-se de medidas regidas pela cláusula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rebus sic stantibus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marcadas, portanto, pela provisoriedade, podem elas ser revistas a qualquer tempo, sobretudo no que condiz à necessidade, consoante dicção do § 5º, art. 282, do CPP</w:t>
      </w:r>
      <w:bookmarkStart w:id="3" w:name="_ftnref4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"_ftn4"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[4]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3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par dessas considerações, e ainda, dos predicativos favoráveis do paciente (primariedade, residência fixa, ocupação lícita etc.), entendo que o caso versado nos autos recomenda, ao menos nesta sede prefacial, a substituição da prisão preventiva por medidas cautelares diversas da prisão, por ser,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in casu sub examine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o que melhor se adéqua aos vetores da proporcionalidade.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De relevo consignar que o contexto fático narrado nos presentes autos surgiu como um dos vários desdobramentos da operação "Lava-jato", consoante já citamos, em que se observa, além das prisões largamente noticiadas pela mídia, a substituição de tais medidas extremas por cautelares diversas, concedidas a vários réus, tanto em primeira instância, na Justiça Federal de Curitiba, como no âmbito do Supremo Tribunal Federal</w:t>
      </w:r>
      <w:bookmarkStart w:id="4" w:name="_ftnref5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"_ftn5"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[5]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4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 Portanto, a medida que ora se propõe, nesta sede preambular, não se distancia daquilo que vem sendo decidido a respeito dos fatos relacionados à operação "Lava-jato", em relação a alguns acusados.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No caso sob testilha, sumariando cognitivamente os autos, vejo que o paciente, consoante ele mesmo afirma em seus depoimentos, exerce atividade empresarial</w:t>
      </w:r>
      <w:bookmarkStart w:id="5" w:name="_ftnref6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"_ftn6"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[6]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5"/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e, ao que tudo indica, viaja a negócios com certa regularidade.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Tal constatação, embora não concretize, aprioristicamente, intento inequívoco de se furtar à aplicação da lei penal ou de embaraçar a instrução, pode eventualmente trazer tais consequências, caso não haja certos condicionamentos ao exercício do direito ambulatorial do paciente.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Ademais, sob o ângulo do acautelamento do tecido social, embora inexista, em princípio, probabilidade concreta de novas práticas delitivas semelhantes, conforme consignamos alhures, tal risco revela-se latente, diante de perspectivas (ainda que remotas) de o ora paciente tornar a ocupar outro cargo no âmbito do Poder Público, convindo advertir, por oportuno, que a atual conjuntura política, por si só, não inibe tal possibilidade, dada a magnitude da influência do grupo político que pertence o ora paciente, que, por certo, ultrapassa os limites territoriais do Estado do Maranhão.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Nessa senda, entendo que a conveniência da instrução, a garantia da aplicação da lei penal e o resguardo da ordem pública exigem o devido acautelamento, mas por medidas menos gravosas, previstas no art. 319, do CPP, considerando as peculiaridades do caso.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Assim, de rigor a substituição da segregação preventiva por medidas cautelares diversas da prisão, previstas no art. 319, do CPP.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 essas considerações, defiro a liminar vindicada, para substituir a prisão preventiva por medidas cautelares diversas, a serem impostas ao paciente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João Guilherme de Abreu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, brasileiro, casado, advogado, OAB nº 749/MA, CPF nº 011.971.693-34, residente e domiciliado na Av. dos Holandeses, nº 2000, Condomínio  Yaguá, Ap. 502, Ponta d"Areia, São Luís, consistentes em: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 - comparecimento mensal em juízo, para informar e justificar atividades, com proibição de mudar de endereço e de se ausentar da comarca sem prévia autorização judicial;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 - proibição de manter contato com os demais investigados, indiciados e réus na operação "Lava-jato", por qualquer meio;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III - proibição de deixar o país, devendo entregar seu passaporte em juízo, em até 48 (quarenta e oito) horas;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IV - proibição de ocupar cargo público em todo o território nacional, na estrutura dos poderes Executivo, Legislativo e Judiciário, em âmbito Federal, Estadual e municipal; e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>V - monitoração por meio da utilização de tornozeleira eletrônica, para viabilizar a fiscalização do cumprimento das medidas ora impostas, de forma mais fidedigna.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Advirta-se que a implementação dessas medidas far-se-á sem prejuízo de outras que venham a se tornar necessárias no curso da persecução criminal, e seu eventual descumprimento injustificado ensejará o restabelecimento da ordem de prisão (art. 282, § 4°, do Código de Processo Penal).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Para efetivo cumprimento, a presente decisão tem força de alvará judicial, devendo o paciente ser posto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in continenti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em liberdade, se por outro motivo não deva permanecer preso, e tomará compromisso por termo nos autos, perante o juízo de primeira instância.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Reitere-se o pedido de informações, e após sua juntada, encaminhem-se os autos à Procuradoria Geral de Justiça para emissão de parecer, no prazo legal.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Intimem-se.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São Luís, 29 de setembro de 2015.</w:t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Des. José Luiz Oliveira de Almeida-Relator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br w:type="textWrapping" w:clear="all"/>
      </w:r>
    </w:p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pict>
          <v:rect id="_x0000_i1025" style="width:140.3pt;height:1.5pt" o:hrpct="330" o:hrstd="t" o:hr="t" fillcolor="#a0a0a0" stroked="f"/>
        </w:pict>
      </w:r>
    </w:p>
    <w:bookmarkStart w:id="6" w:name="_ftn1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"_ftnref1"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[1]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6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Além de ter acolhido pedido de busca e apreensão domiciliar.</w:t>
      </w:r>
    </w:p>
    <w:bookmarkStart w:id="7" w:name="_ftn2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"_ftnref2"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[2]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7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HC 95290, Relator(a):  Min. CELSO DE MELLO, Segunda Turma, julgado em 01/03/2011, ACÓRDÃO ELETRÔNICO DJe-150 DIVULG 31-07-2012 PUBLIC 01-08-2012.</w:t>
      </w:r>
    </w:p>
    <w:bookmarkStart w:id="8" w:name="_ftn3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"_ftnref3"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[3]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8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GOMES, Luiz Flávio. MARQUES (coord.), Ivan Luís.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Prisão e Medidas Cautelares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Comentários à Lei nº 12.403, de 4 de maio de 2011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 RT, 2011, p. 25.</w:t>
      </w:r>
    </w:p>
    <w:bookmarkStart w:id="9" w:name="_ftn4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"_ftnref4"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[4]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9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O juiz poderá revogar a medida cautelar ou substituí-la quando verificar a falta de motivo para que subsista, bem como voltar a decretá-la, se sobrevierem razões que a justifiquem.</w:t>
      </w:r>
    </w:p>
    <w:bookmarkStart w:id="10" w:name="_ftn5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"_ftnref5"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[5]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10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Cito como exemplo o</w:t>
      </w:r>
      <w:r w:rsidRPr="005E2A76">
        <w:rPr>
          <w:rFonts w:ascii="Arial" w:eastAsia="Times New Roman" w:hAnsi="Arial" w:cs="Arial"/>
          <w:color w:val="666666"/>
          <w:sz w:val="18"/>
          <w:lang w:eastAsia="pt-BR"/>
        </w:rPr>
        <w:t> Habeas Corpus 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127.186/PR, de relatoria do Min. Teori Zavascki, 2ª T., que substituiu a prisão preventiva de Ricardo Ribeiro Pessoa, da UTC, por medidas cautelares diversas da prisão, em julgamento realizado em 28/04/2015.</w:t>
      </w:r>
    </w:p>
    <w:bookmarkStart w:id="11" w:name="_ftn6"/>
    <w:p w:rsidR="005E2A76" w:rsidRPr="005E2A76" w:rsidRDefault="005E2A76" w:rsidP="005E2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begin"/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instrText xml:space="preserve"> HYPERLINK "http://jurisconsult.tjma.jus.br/eNotzT0OgzAMQOG7cAHbISk_HRm4QHfkGNNcIkUJXCJJxfHL0PHpG14eCd3YMJLj3myqHT6EtnbV1llxVj0N3nZZ3zWuaT65gqSYayi8HNWHXRhykNd-JCDwJU5_Pe8sV5k-_FVA25sBzT1pnj8qbyTi" \l "_ftnref6" \o "" </w:instrTex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separate"/>
      </w:r>
      <w:r w:rsidRPr="005E2A76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[6]</w:t>
      </w:r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fldChar w:fldCharType="end"/>
      </w:r>
      <w:bookmarkEnd w:id="11"/>
      <w:r w:rsidRPr="005E2A7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Disse ser sócio de uma empresa que controla um Shopping Center nesta Capital.</w:t>
      </w:r>
    </w:p>
    <w:p w:rsidR="001D3614" w:rsidRDefault="005E2A76"/>
    <w:sectPr w:rsidR="001D3614" w:rsidSect="00646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2A76"/>
    <w:rsid w:val="00126034"/>
    <w:rsid w:val="00567DCD"/>
    <w:rsid w:val="005E2A76"/>
    <w:rsid w:val="0064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2A76"/>
    <w:rPr>
      <w:b/>
      <w:bCs/>
    </w:rPr>
  </w:style>
  <w:style w:type="character" w:customStyle="1" w:styleId="apple-converted-space">
    <w:name w:val="apple-converted-space"/>
    <w:basedOn w:val="Fontepargpadro"/>
    <w:rsid w:val="005E2A76"/>
  </w:style>
  <w:style w:type="character" w:styleId="nfase">
    <w:name w:val="Emphasis"/>
    <w:basedOn w:val="Fontepargpadro"/>
    <w:uiPriority w:val="20"/>
    <w:qFormat/>
    <w:rsid w:val="005E2A7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E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05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5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55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7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748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52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6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1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88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062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83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7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60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7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86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429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6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89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2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0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27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00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0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99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87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08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985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137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613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13899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32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73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17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14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268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440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9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412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2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50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441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04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224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994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971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036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838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730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167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985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529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79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0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238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97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24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494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572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074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236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91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47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79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2041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512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347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443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7439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854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5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330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146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93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160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2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29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974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6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24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45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9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877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758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092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351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15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0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1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3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148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532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54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123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58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26">
          <w:marLeft w:val="3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335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431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7426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824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879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047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6378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1761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5011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4458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7743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899">
                  <w:marLeft w:val="3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risconsult.tjma.jus.br/eNotzT0OgzAMQOG7cAHbISk_HRm4QHfkGNNcIkUJXCJJxfHL0PHpG14eCd3YMJLj3myqHT6EtnbV1llxVj0N3nZZ3zWuaT65gqSYayi8HNWHXRhykNd-JCDwJU5_Pe8sV5k-_FVA25sBzT1pnj8qbyT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5289</Words>
  <Characters>28562</Characters>
  <Application>Microsoft Office Word</Application>
  <DocSecurity>0</DocSecurity>
  <Lines>238</Lines>
  <Paragraphs>67</Paragraphs>
  <ScaleCrop>false</ScaleCrop>
  <Company/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1</cp:revision>
  <dcterms:created xsi:type="dcterms:W3CDTF">2015-09-29T20:56:00Z</dcterms:created>
  <dcterms:modified xsi:type="dcterms:W3CDTF">2015-09-29T20:57:00Z</dcterms:modified>
</cp:coreProperties>
</file>